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06FB7ADF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B26836">
        <w:trPr>
          <w:trHeight w:val="1072"/>
        </w:trPr>
        <w:tc>
          <w:tcPr>
            <w:tcW w:w="900" w:type="dxa"/>
            <w:vAlign w:val="center"/>
          </w:tcPr>
          <w:p w14:paraId="0B11867D" w14:textId="7B5821A8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12B46" w14:textId="06C310D9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A05ED0" w:rsidRDefault="0032149A" w:rsidP="00B26836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5FB84459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947B7A">
        <w:rPr>
          <w:rFonts w:ascii="BIZ UD明朝 Medium" w:eastAsia="BIZ UD明朝 Medium" w:hAnsi="BIZ UD明朝 Medium" w:hint="eastAsia"/>
          <w:sz w:val="22"/>
          <w:szCs w:val="22"/>
        </w:rPr>
        <w:t>２７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19859B3F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CB366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47B7A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05ED0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26836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川上 聡</cp:lastModifiedBy>
  <cp:revision>52</cp:revision>
  <cp:lastPrinted>2021-02-26T13:29:00Z</cp:lastPrinted>
  <dcterms:created xsi:type="dcterms:W3CDTF">2021-04-08T09:36:00Z</dcterms:created>
  <dcterms:modified xsi:type="dcterms:W3CDTF">2025-12-01T23:42:00Z</dcterms:modified>
</cp:coreProperties>
</file>